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B77" w:rsidRDefault="00A44B77"/>
    <w:p w:rsidR="00E516B4" w:rsidRDefault="00E516B4" w:rsidP="00E516B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Un CDD d’un an d’assistant est proposé du 1</w:t>
      </w:r>
      <w:r w:rsidRPr="00E516B4">
        <w:rPr>
          <w:rFonts w:ascii="Times New Roman" w:hAnsi="Times New Roman"/>
          <w:sz w:val="24"/>
          <w:vertAlign w:val="superscript"/>
        </w:rPr>
        <w:t>er</w:t>
      </w:r>
      <w:r>
        <w:rPr>
          <w:rFonts w:ascii="Times New Roman" w:hAnsi="Times New Roman"/>
          <w:sz w:val="24"/>
        </w:rPr>
        <w:t xml:space="preserve"> janvier au 31 décembre 2021 pour compenser l’absence d’un médecin de l’équipe en disponibilité pour l’année 2021. L’activité sera axée sur la </w:t>
      </w:r>
      <w:proofErr w:type="spellStart"/>
      <w:r>
        <w:rPr>
          <w:rFonts w:ascii="Times New Roman" w:hAnsi="Times New Roman"/>
          <w:sz w:val="24"/>
        </w:rPr>
        <w:t>gynécopathologie</w:t>
      </w:r>
      <w:proofErr w:type="spellEnd"/>
      <w:r>
        <w:rPr>
          <w:rFonts w:ascii="Times New Roman" w:hAnsi="Times New Roman"/>
          <w:sz w:val="24"/>
        </w:rPr>
        <w:t xml:space="preserve"> et l’ORL. Le département d’Anatomie et Cytologie Pathologiques de l’Institut Universitaire du Cancer sur le site de l’</w:t>
      </w:r>
      <w:proofErr w:type="spellStart"/>
      <w:r>
        <w:rPr>
          <w:rFonts w:ascii="Times New Roman" w:hAnsi="Times New Roman"/>
          <w:sz w:val="24"/>
        </w:rPr>
        <w:t>Oncopole</w:t>
      </w:r>
      <w:proofErr w:type="spellEnd"/>
      <w:r>
        <w:rPr>
          <w:rFonts w:ascii="Times New Roman" w:hAnsi="Times New Roman"/>
          <w:sz w:val="24"/>
        </w:rPr>
        <w:t xml:space="preserve"> à Toulouse est un des plus grands d’Europe. Toutes les spécialisations de l’Anatomie et Cytologie Pathologiques sont représentées : </w:t>
      </w:r>
    </w:p>
    <w:p w:rsidR="00E516B4" w:rsidRDefault="00E516B4" w:rsidP="00E516B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cytologie</w:t>
      </w:r>
    </w:p>
    <w:p w:rsidR="00E516B4" w:rsidRDefault="00E516B4" w:rsidP="00E516B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dermatopathologie</w:t>
      </w:r>
      <w:proofErr w:type="spellEnd"/>
    </w:p>
    <w:p w:rsidR="00E516B4" w:rsidRDefault="00E516B4" w:rsidP="00E516B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foetopathologie</w:t>
      </w:r>
      <w:proofErr w:type="spellEnd"/>
    </w:p>
    <w:p w:rsidR="00E516B4" w:rsidRDefault="00E516B4" w:rsidP="00E516B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néphropathologie</w:t>
      </w:r>
      <w:proofErr w:type="spellEnd"/>
    </w:p>
    <w:p w:rsidR="00E516B4" w:rsidRDefault="00E516B4" w:rsidP="00E516B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neuropathologie</w:t>
      </w:r>
    </w:p>
    <w:p w:rsidR="00E516B4" w:rsidRDefault="00E516B4" w:rsidP="00E516B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pathologie digestive </w:t>
      </w:r>
    </w:p>
    <w:p w:rsidR="00E516B4" w:rsidRDefault="00E516B4" w:rsidP="00E516B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pathologie gynécologique </w:t>
      </w:r>
    </w:p>
    <w:p w:rsidR="00E516B4" w:rsidRDefault="00E516B4" w:rsidP="00E516B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pathologie ORL</w:t>
      </w:r>
    </w:p>
    <w:p w:rsidR="00E516B4" w:rsidRDefault="00E516B4" w:rsidP="00E516B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pathologie lymphoïde</w:t>
      </w:r>
    </w:p>
    <w:p w:rsidR="00E516B4" w:rsidRDefault="00E516B4" w:rsidP="00E516B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pathologie pédiatrique </w:t>
      </w:r>
    </w:p>
    <w:p w:rsidR="00E516B4" w:rsidRDefault="00E516B4" w:rsidP="00E516B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pathologie pneumologique</w:t>
      </w:r>
    </w:p>
    <w:p w:rsidR="00E516B4" w:rsidRDefault="00E516B4" w:rsidP="00E516B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pathologie thyroïdienne</w:t>
      </w:r>
    </w:p>
    <w:p w:rsidR="00E516B4" w:rsidRDefault="00E516B4" w:rsidP="00E516B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pathologie des tissus mous</w:t>
      </w:r>
    </w:p>
    <w:p w:rsidR="00E516B4" w:rsidRDefault="00E516B4" w:rsidP="00E516B4">
      <w:pPr>
        <w:ind w:firstLine="36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  pathologie urologique</w:t>
      </w:r>
    </w:p>
    <w:p w:rsidR="00E516B4" w:rsidRDefault="00E516B4" w:rsidP="00E516B4">
      <w:pPr>
        <w:jc w:val="both"/>
        <w:rPr>
          <w:rFonts w:ascii="Times New Roman" w:hAnsi="Times New Roman"/>
          <w:sz w:val="24"/>
        </w:rPr>
      </w:pPr>
    </w:p>
    <w:p w:rsidR="00E516B4" w:rsidRDefault="00E516B4" w:rsidP="00E516B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Toutes les techniques complémentaires  de notre spécialité sont également pratiquées</w:t>
      </w:r>
      <w:r w:rsidR="00CC498D">
        <w:rPr>
          <w:rFonts w:ascii="Times New Roman" w:hAnsi="Times New Roman"/>
          <w:sz w:val="24"/>
        </w:rPr>
        <w:t xml:space="preserve"> en routine</w:t>
      </w:r>
      <w:r>
        <w:rPr>
          <w:rFonts w:ascii="Times New Roman" w:hAnsi="Times New Roman"/>
          <w:sz w:val="24"/>
        </w:rPr>
        <w:t xml:space="preserve"> dans le service :</w:t>
      </w:r>
    </w:p>
    <w:p w:rsidR="00E516B4" w:rsidRDefault="00E516B4" w:rsidP="00E516B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immunohistochimie</w:t>
      </w:r>
    </w:p>
    <w:p w:rsidR="00E516B4" w:rsidRDefault="00E516B4" w:rsidP="00E516B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immunofluorescence sur coupes congelées</w:t>
      </w:r>
    </w:p>
    <w:p w:rsidR="00E516B4" w:rsidRDefault="00E516B4" w:rsidP="00E516B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Immunofluorescence multiplex</w:t>
      </w:r>
    </w:p>
    <w:p w:rsidR="00E516B4" w:rsidRDefault="00E516B4" w:rsidP="00E516B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cytocentrifugation</w:t>
      </w:r>
      <w:proofErr w:type="spellEnd"/>
      <w:r>
        <w:rPr>
          <w:rFonts w:ascii="Times New Roman" w:hAnsi="Times New Roman"/>
          <w:sz w:val="24"/>
        </w:rPr>
        <w:t xml:space="preserve"> et techniques de type « </w:t>
      </w:r>
      <w:proofErr w:type="spellStart"/>
      <w:r>
        <w:rPr>
          <w:rFonts w:ascii="Times New Roman" w:hAnsi="Times New Roman"/>
          <w:sz w:val="24"/>
        </w:rPr>
        <w:t>Cytic</w:t>
      </w:r>
      <w:proofErr w:type="spellEnd"/>
      <w:r>
        <w:rPr>
          <w:rFonts w:ascii="Times New Roman" w:hAnsi="Times New Roman"/>
          <w:sz w:val="24"/>
        </w:rPr>
        <w:t> »</w:t>
      </w:r>
    </w:p>
    <w:p w:rsidR="00E516B4" w:rsidRDefault="00E516B4" w:rsidP="00E516B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histoenzymologie</w:t>
      </w:r>
    </w:p>
    <w:p w:rsidR="00E516B4" w:rsidRDefault="00E516B4" w:rsidP="00E516B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inclusion en résine</w:t>
      </w:r>
    </w:p>
    <w:p w:rsidR="00E516B4" w:rsidRDefault="00E516B4" w:rsidP="00E516B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microscopie </w:t>
      </w:r>
      <w:proofErr w:type="spellStart"/>
      <w:r>
        <w:rPr>
          <w:rFonts w:ascii="Times New Roman" w:hAnsi="Times New Roman"/>
          <w:sz w:val="24"/>
        </w:rPr>
        <w:t>éléctronique</w:t>
      </w:r>
      <w:proofErr w:type="spellEnd"/>
    </w:p>
    <w:p w:rsidR="00E516B4" w:rsidRDefault="00E516B4" w:rsidP="00E516B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hybridation in situ</w:t>
      </w:r>
    </w:p>
    <w:p w:rsidR="00E516B4" w:rsidRDefault="00E516B4" w:rsidP="00E516B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biologie moléculaire (NGS)</w:t>
      </w:r>
    </w:p>
    <w:p w:rsidR="00E516B4" w:rsidRDefault="00E516B4" w:rsidP="00E516B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lames virtuelles</w:t>
      </w:r>
    </w:p>
    <w:p w:rsidR="00E516B4" w:rsidRDefault="00E516B4" w:rsidP="00E516B4">
      <w:pPr>
        <w:numPr>
          <w:ilvl w:val="0"/>
          <w:numId w:val="1"/>
        </w:numPr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télépathologie</w:t>
      </w:r>
      <w:proofErr w:type="spellEnd"/>
      <w:r>
        <w:rPr>
          <w:rFonts w:ascii="Times New Roman" w:hAnsi="Times New Roman"/>
          <w:sz w:val="24"/>
        </w:rPr>
        <w:t xml:space="preserve"> </w:t>
      </w:r>
    </w:p>
    <w:p w:rsidR="00E516B4" w:rsidRDefault="00E516B4" w:rsidP="00E516B4">
      <w:pPr>
        <w:jc w:val="both"/>
        <w:rPr>
          <w:rFonts w:ascii="Times New Roman" w:hAnsi="Times New Roman"/>
          <w:sz w:val="24"/>
        </w:rPr>
      </w:pPr>
    </w:p>
    <w:p w:rsidR="00E516B4" w:rsidRDefault="00D45138">
      <w:proofErr w:type="gramStart"/>
      <w:r>
        <w:t>merci</w:t>
      </w:r>
      <w:proofErr w:type="gramEnd"/>
      <w:r>
        <w:t xml:space="preserve"> d’envoyer vos candidatures ou demandes de renseignements aux 3 adresses suivantes :</w:t>
      </w:r>
    </w:p>
    <w:p w:rsidR="00D45138" w:rsidRDefault="00D45138">
      <w:r w:rsidRPr="00D45138">
        <w:t>Rochaix.Philippe@iuct-oncopole.fr</w:t>
      </w:r>
      <w:r>
        <w:t>;brousset.p@ch</w:t>
      </w:r>
      <w:bookmarkStart w:id="0" w:name="_GoBack"/>
      <w:bookmarkEnd w:id="0"/>
      <w:r>
        <w:t>u-toulouse.fr;uro-coste.e@chu-toulouse.fr</w:t>
      </w:r>
    </w:p>
    <w:sectPr w:rsidR="00D45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9088F"/>
    <w:multiLevelType w:val="singleLevel"/>
    <w:tmpl w:val="ED3800C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6B4"/>
    <w:rsid w:val="00301C32"/>
    <w:rsid w:val="00420B0E"/>
    <w:rsid w:val="008C695B"/>
    <w:rsid w:val="00A44B77"/>
    <w:rsid w:val="00CC498D"/>
    <w:rsid w:val="00D45138"/>
    <w:rsid w:val="00E51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6B4"/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16B4"/>
    <w:rPr>
      <w:rFonts w:ascii="Arial" w:hAnsi="Arial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temp</cp:lastModifiedBy>
  <cp:revision>2</cp:revision>
  <dcterms:created xsi:type="dcterms:W3CDTF">2020-12-11T13:47:00Z</dcterms:created>
  <dcterms:modified xsi:type="dcterms:W3CDTF">2020-12-11T13:47:00Z</dcterms:modified>
</cp:coreProperties>
</file>